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04" w:rsidRDefault="000A1B04" w:rsidP="000A1B04">
      <w:pPr>
        <w:widowControl w:val="0"/>
        <w:tabs>
          <w:tab w:val="left" w:pos="2520"/>
        </w:tabs>
        <w:spacing w:after="30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41375915"/>
      <w:r w:rsidRPr="001D451A">
        <w:rPr>
          <w:rFonts w:ascii="Times New Roman" w:hAnsi="Times New Roman" w:cs="Times New Roman"/>
          <w:b/>
          <w:bCs/>
          <w:sz w:val="28"/>
          <w:szCs w:val="28"/>
        </w:rPr>
        <w:t>Оборот оптовой торговли</w:t>
      </w:r>
      <w:bookmarkEnd w:id="0"/>
    </w:p>
    <w:p w:rsidR="000A1B04" w:rsidRPr="001D451A" w:rsidRDefault="000A1B04" w:rsidP="000A1B04">
      <w:pPr>
        <w:widowControl w:val="0"/>
        <w:tabs>
          <w:tab w:val="left" w:pos="2520"/>
        </w:tabs>
        <w:spacing w:after="240" w:line="360" w:lineRule="auto"/>
        <w:ind w:firstLine="851"/>
        <w:jc w:val="both"/>
        <w:outlineLvl w:val="2"/>
        <w:rPr>
          <w:rFonts w:ascii="Times New Roman" w:hAnsi="Times New Roman" w:cs="Times New Roman"/>
        </w:rPr>
      </w:pPr>
      <w:r w:rsidRPr="001D451A">
        <w:rPr>
          <w:rFonts w:ascii="Times New Roman" w:hAnsi="Times New Roman" w:cs="Times New Roman"/>
        </w:rPr>
        <w:t xml:space="preserve">В </w:t>
      </w:r>
      <w:r w:rsidR="001658F2">
        <w:rPr>
          <w:rFonts w:ascii="Times New Roman" w:hAnsi="Times New Roman" w:cs="Times New Roman"/>
        </w:rPr>
        <w:t>июне</w:t>
      </w:r>
      <w:r w:rsidRPr="001D451A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1</w:t>
      </w:r>
      <w:r w:rsidRPr="001D451A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.</w:t>
      </w:r>
      <w:r w:rsidRPr="001D451A">
        <w:rPr>
          <w:rFonts w:ascii="Times New Roman" w:hAnsi="Times New Roman" w:cs="Times New Roman"/>
        </w:rPr>
        <w:t xml:space="preserve"> оборот оптовой торговли </w:t>
      </w:r>
      <w:r>
        <w:rPr>
          <w:rFonts w:ascii="Times New Roman" w:hAnsi="Times New Roman" w:cs="Times New Roman"/>
        </w:rPr>
        <w:t xml:space="preserve">по предварительным данным </w:t>
      </w:r>
      <w:r w:rsidRPr="001D451A">
        <w:rPr>
          <w:rFonts w:ascii="Times New Roman" w:hAnsi="Times New Roman" w:cs="Times New Roman"/>
        </w:rPr>
        <w:t xml:space="preserve">составил </w:t>
      </w:r>
      <w:r>
        <w:rPr>
          <w:rFonts w:ascii="Times New Roman" w:hAnsi="Times New Roman" w:cs="Times New Roman"/>
        </w:rPr>
        <w:br/>
      </w:r>
      <w:r w:rsidR="00DD3F37">
        <w:rPr>
          <w:rFonts w:ascii="Times New Roman" w:hAnsi="Times New Roman" w:cs="Times New Roman"/>
        </w:rPr>
        <w:t>3389,0</w:t>
      </w:r>
      <w:r w:rsidRPr="001D451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D451A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лрд</w:t>
      </w:r>
      <w:proofErr w:type="spellEnd"/>
      <w:proofErr w:type="gramEnd"/>
      <w:r>
        <w:rPr>
          <w:rFonts w:ascii="Times New Roman" w:hAnsi="Times New Roman" w:cs="Times New Roman"/>
        </w:rPr>
        <w:t xml:space="preserve"> рублей </w:t>
      </w:r>
      <w:r w:rsidRPr="001D451A">
        <w:rPr>
          <w:rFonts w:ascii="Times New Roman" w:hAnsi="Times New Roman" w:cs="Times New Roman"/>
        </w:rPr>
        <w:t xml:space="preserve">или </w:t>
      </w:r>
      <w:r>
        <w:rPr>
          <w:rFonts w:ascii="Times New Roman" w:hAnsi="Times New Roman" w:cs="Times New Roman"/>
        </w:rPr>
        <w:t>1</w:t>
      </w:r>
      <w:r w:rsidR="00DD3F37">
        <w:rPr>
          <w:rFonts w:ascii="Times New Roman" w:hAnsi="Times New Roman" w:cs="Times New Roman"/>
        </w:rPr>
        <w:t>21,4</w:t>
      </w:r>
      <w:r>
        <w:rPr>
          <w:rFonts w:ascii="Times New Roman" w:hAnsi="Times New Roman" w:cs="Times New Roman"/>
        </w:rPr>
        <w:t xml:space="preserve">%  (в сопоставимых ценах) к </w:t>
      </w:r>
      <w:r w:rsidRPr="001D451A">
        <w:rPr>
          <w:rFonts w:ascii="Times New Roman" w:hAnsi="Times New Roman" w:cs="Times New Roman"/>
        </w:rPr>
        <w:t>соответствующему периоду предыдущего года.</w:t>
      </w:r>
      <w:r>
        <w:rPr>
          <w:rFonts w:ascii="Times New Roman" w:hAnsi="Times New Roman" w:cs="Times New Roman"/>
        </w:rPr>
        <w:t xml:space="preserve"> В январе-</w:t>
      </w:r>
      <w:r w:rsidR="001658F2">
        <w:rPr>
          <w:rFonts w:ascii="Times New Roman" w:hAnsi="Times New Roman" w:cs="Times New Roman"/>
        </w:rPr>
        <w:t>июне</w:t>
      </w:r>
      <w:r>
        <w:rPr>
          <w:rFonts w:ascii="Times New Roman" w:hAnsi="Times New Roman" w:cs="Times New Roman"/>
        </w:rPr>
        <w:t xml:space="preserve"> 2021 г. – 1</w:t>
      </w:r>
      <w:r w:rsidR="00DD3F37">
        <w:rPr>
          <w:rFonts w:ascii="Times New Roman" w:hAnsi="Times New Roman" w:cs="Times New Roman"/>
        </w:rPr>
        <w:t>7825,5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млрд</w:t>
      </w:r>
      <w:proofErr w:type="spellEnd"/>
      <w:proofErr w:type="gramEnd"/>
      <w:r>
        <w:rPr>
          <w:rFonts w:ascii="Times New Roman" w:hAnsi="Times New Roman" w:cs="Times New Roman"/>
        </w:rPr>
        <w:t xml:space="preserve"> рублей и 11</w:t>
      </w:r>
      <w:r w:rsidR="00DD3F3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,</w:t>
      </w:r>
      <w:r w:rsidR="00DD3F3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% соответственно.</w:t>
      </w:r>
    </w:p>
    <w:p w:rsidR="000A1B04" w:rsidRDefault="000A1B04" w:rsidP="000A1B04">
      <w:pPr>
        <w:spacing w:before="120" w:after="120"/>
        <w:jc w:val="center"/>
        <w:rPr>
          <w:rFonts w:ascii="Times New Roman" w:hAnsi="Times New Roman"/>
        </w:rPr>
      </w:pPr>
      <w:r w:rsidRPr="00920347">
        <w:rPr>
          <w:rFonts w:ascii="Times New Roman" w:hAnsi="Times New Roman"/>
          <w:b/>
          <w:sz w:val="24"/>
        </w:rPr>
        <w:t>Динамика оборота оптовой торговли</w:t>
      </w:r>
      <w:r w:rsidRPr="00920347">
        <w:rPr>
          <w:rFonts w:ascii="Times New Roman" w:hAnsi="Times New Roman"/>
          <w:b/>
          <w:sz w:val="24"/>
        </w:rPr>
        <w:br/>
      </w:r>
      <w:r w:rsidRPr="009B5DFB">
        <w:rPr>
          <w:rFonts w:ascii="Times New Roman" w:hAnsi="Times New Roman"/>
        </w:rPr>
        <w:t>в сопоставимых ценах</w:t>
      </w:r>
    </w:p>
    <w:p w:rsidR="000A1B04" w:rsidRDefault="000A1B04" w:rsidP="000A1B04">
      <w:pPr>
        <w:spacing w:before="120" w:after="120"/>
        <w:jc w:val="center"/>
        <w:rPr>
          <w:rFonts w:ascii="Times New Roman" w:hAnsi="Times New Roman"/>
        </w:rPr>
      </w:pPr>
    </w:p>
    <w:p w:rsidR="000A1B04" w:rsidRDefault="000A1B04" w:rsidP="000A1B04">
      <w:pPr>
        <w:spacing w:before="120" w:after="120"/>
        <w:jc w:val="center"/>
        <w:rPr>
          <w:rFonts w:ascii="Times New Roman" w:hAnsi="Times New Roman"/>
        </w:rPr>
      </w:pPr>
      <w:r w:rsidRPr="00626F14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42640" cy="2700670"/>
            <wp:effectExtent l="0" t="0" r="2001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Style w:val="a9"/>
        <w:tblW w:w="9356" w:type="dxa"/>
        <w:tblInd w:w="108" w:type="dxa"/>
        <w:tblLayout w:type="fixed"/>
        <w:tblLook w:val="04A0"/>
      </w:tblPr>
      <w:tblGrid>
        <w:gridCol w:w="1843"/>
        <w:gridCol w:w="1529"/>
        <w:gridCol w:w="1873"/>
        <w:gridCol w:w="1701"/>
        <w:gridCol w:w="1276"/>
        <w:gridCol w:w="1134"/>
      </w:tblGrid>
      <w:tr w:rsidR="000A1B04" w:rsidTr="00220425">
        <w:trPr>
          <w:trHeight w:val="11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B04" w:rsidRDefault="000A1B04" w:rsidP="00220425">
            <w:pPr>
              <w:spacing w:before="60" w:after="6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B04" w:rsidRDefault="000A1B04" w:rsidP="001658F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</w:t>
            </w:r>
            <w:r w:rsidR="001658F2">
              <w:rPr>
                <w:rFonts w:ascii="Times New Roman" w:hAnsi="Times New Roman" w:cs="Times New Roman"/>
              </w:rPr>
              <w:t>июнь</w:t>
            </w:r>
            <w:r>
              <w:rPr>
                <w:rFonts w:ascii="Times New Roman" w:hAnsi="Times New Roman" w:cs="Times New Roman"/>
              </w:rPr>
              <w:br/>
              <w:t>2021 г.,</w:t>
            </w:r>
            <w:r>
              <w:rPr>
                <w:rFonts w:ascii="Times New Roman" w:hAnsi="Times New Roman" w:cs="Times New Roman"/>
              </w:rPr>
              <w:br/>
              <w:t>млн</w:t>
            </w:r>
            <w:r>
              <w:rPr>
                <w:rFonts w:ascii="Times New Roman" w:hAnsi="Times New Roman" w:cs="Times New Roman"/>
              </w:rPr>
              <w:br/>
              <w:t>рублей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B04" w:rsidRDefault="000A1B04" w:rsidP="001658F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Январь-</w:t>
            </w:r>
            <w:r w:rsidR="001658F2">
              <w:rPr>
                <w:rFonts w:ascii="Times New Roman" w:hAnsi="Times New Roman" w:cs="Times New Roman"/>
              </w:rPr>
              <w:t>июнь</w:t>
            </w:r>
            <w:r>
              <w:rPr>
                <w:rFonts w:ascii="Times New Roman" w:hAnsi="Times New Roman" w:cs="Times New Roman"/>
              </w:rPr>
              <w:br/>
              <w:t>2021 года</w:t>
            </w:r>
            <w:r>
              <w:rPr>
                <w:rFonts w:ascii="Times New Roman" w:hAnsi="Times New Roman" w:cs="Times New Roman"/>
              </w:rPr>
              <w:br/>
              <w:t>в % к</w:t>
            </w:r>
            <w:r>
              <w:rPr>
                <w:rFonts w:ascii="Times New Roman" w:hAnsi="Times New Roman" w:cs="Times New Roman"/>
              </w:rPr>
              <w:br/>
              <w:t>январю-</w:t>
            </w:r>
            <w:r w:rsidR="001658F2">
              <w:rPr>
                <w:rFonts w:ascii="Times New Roman" w:hAnsi="Times New Roman" w:cs="Times New Roman"/>
              </w:rPr>
              <w:t>июню</w:t>
            </w:r>
            <w:r>
              <w:rPr>
                <w:rFonts w:ascii="Times New Roman" w:hAnsi="Times New Roman" w:cs="Times New Roman"/>
              </w:rPr>
              <w:br/>
              <w:t xml:space="preserve">2020 года </w:t>
            </w:r>
            <w:r>
              <w:rPr>
                <w:rFonts w:ascii="Times New Roman" w:hAnsi="Times New Roman" w:cs="Times New Roman"/>
              </w:rPr>
              <w:br/>
              <w:t>(в сопоставимых ценах)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B04" w:rsidRDefault="001658F2" w:rsidP="0022042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  <w:r w:rsidR="000A1B04">
              <w:rPr>
                <w:rFonts w:ascii="Times New Roman" w:hAnsi="Times New Roman" w:cs="Times New Roman"/>
              </w:rPr>
              <w:br/>
              <w:t>2021 г.,</w:t>
            </w:r>
            <w:r w:rsidR="000A1B04">
              <w:rPr>
                <w:rFonts w:ascii="Times New Roman" w:hAnsi="Times New Roman" w:cs="Times New Roman"/>
              </w:rPr>
              <w:br/>
              <w:t>млн</w:t>
            </w:r>
            <w:r w:rsidR="000A1B04">
              <w:rPr>
                <w:rFonts w:ascii="Times New Roman" w:hAnsi="Times New Roman" w:cs="Times New Roman"/>
              </w:rPr>
              <w:br/>
              <w:t>рублей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1B04" w:rsidRDefault="000A1B04" w:rsidP="0022042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сопоставимых ценах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% к</w:t>
            </w:r>
          </w:p>
        </w:tc>
      </w:tr>
      <w:tr w:rsidR="000A1B04" w:rsidTr="00220425">
        <w:trPr>
          <w:trHeight w:val="139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04" w:rsidRDefault="000A1B04" w:rsidP="00220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04" w:rsidRDefault="000A1B04" w:rsidP="00220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04" w:rsidRDefault="000A1B04" w:rsidP="00220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04" w:rsidRDefault="000A1B04" w:rsidP="00220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1B04" w:rsidRPr="007B46AA" w:rsidRDefault="001658F2" w:rsidP="0022042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0A1B04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ню</w:t>
            </w:r>
            <w:r w:rsidR="000A1B04" w:rsidRPr="007B46AA">
              <w:rPr>
                <w:rFonts w:ascii="Times New Roman" w:hAnsi="Times New Roman" w:cs="Times New Roman"/>
              </w:rPr>
              <w:br/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1B04" w:rsidRPr="007B46AA" w:rsidRDefault="001658F2" w:rsidP="0022042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="00282F39">
              <w:rPr>
                <w:rFonts w:ascii="Times New Roman" w:hAnsi="Times New Roman" w:cs="Times New Roman"/>
              </w:rPr>
              <w:t>ю</w:t>
            </w:r>
            <w:r w:rsidR="000A1B04" w:rsidRPr="007B46AA">
              <w:rPr>
                <w:rFonts w:ascii="Times New Roman" w:hAnsi="Times New Roman" w:cs="Times New Roman"/>
              </w:rPr>
              <w:br/>
              <w:t>2021 г.</w:t>
            </w:r>
          </w:p>
        </w:tc>
      </w:tr>
      <w:tr w:rsidR="000A1B04" w:rsidTr="00220425">
        <w:trPr>
          <w:trHeight w:val="1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B04" w:rsidRPr="00372D9A" w:rsidRDefault="000A1B04" w:rsidP="00220425">
            <w:pPr>
              <w:ind w:left="-57" w:right="-57"/>
              <w:rPr>
                <w:rFonts w:ascii="Times New Roman" w:hAnsi="Times New Roman" w:cs="Times New Roman"/>
                <w:b/>
              </w:rPr>
            </w:pPr>
            <w:r w:rsidRPr="00372D9A">
              <w:rPr>
                <w:rFonts w:ascii="Times New Roman" w:hAnsi="Times New Roman" w:cs="Times New Roman"/>
                <w:b/>
                <w:bCs/>
              </w:rPr>
              <w:t xml:space="preserve">Оборот оптовой торговли </w:t>
            </w:r>
            <w:proofErr w:type="gramStart"/>
            <w:r w:rsidRPr="00372D9A">
              <w:rPr>
                <w:rFonts w:ascii="Times New Roman" w:hAnsi="Times New Roman" w:cs="Times New Roman"/>
                <w:b/>
                <w:bCs/>
              </w:rPr>
              <w:t>-в</w:t>
            </w:r>
            <w:proofErr w:type="gramEnd"/>
            <w:r w:rsidRPr="00372D9A">
              <w:rPr>
                <w:rFonts w:ascii="Times New Roman" w:hAnsi="Times New Roman" w:cs="Times New Roman"/>
                <w:b/>
                <w:bCs/>
              </w:rPr>
              <w:t>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04" w:rsidRPr="00F04DBC" w:rsidRDefault="00DD3F37" w:rsidP="00220425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17825487,8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04" w:rsidRPr="00F04DBC" w:rsidRDefault="00DD3F37" w:rsidP="00FC4457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04" w:rsidRPr="00F04DBC" w:rsidRDefault="00DD3F37" w:rsidP="00220425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3388959,0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B04" w:rsidRPr="00F04DBC" w:rsidRDefault="00DD3F37" w:rsidP="00FC4457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B04" w:rsidRPr="00F04DBC" w:rsidRDefault="00DD3F37" w:rsidP="00FC4457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110,9</w:t>
            </w:r>
          </w:p>
        </w:tc>
      </w:tr>
      <w:tr w:rsidR="000A1B04" w:rsidTr="00220425">
        <w:trPr>
          <w:trHeight w:val="1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B04" w:rsidRDefault="000A1B04" w:rsidP="00220425">
            <w:pPr>
              <w:spacing w:before="120" w:after="120"/>
              <w:ind w:lef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04" w:rsidRDefault="000A1B04" w:rsidP="00220425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04" w:rsidRDefault="000A1B04" w:rsidP="00220425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04" w:rsidRDefault="000A1B04" w:rsidP="00220425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04" w:rsidRDefault="000A1B04" w:rsidP="00220425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04" w:rsidRDefault="000A1B04" w:rsidP="00220425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A1B04" w:rsidTr="00220425">
        <w:trPr>
          <w:trHeight w:val="1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B04" w:rsidRDefault="000A1B04" w:rsidP="00220425">
            <w:pPr>
              <w:spacing w:before="120" w:after="12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оборот оптовой торговли организаций оптовой торговли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04" w:rsidRDefault="00DD3F37" w:rsidP="00220425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14111591,8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04" w:rsidRDefault="00DD3F37" w:rsidP="00FC4457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04" w:rsidRDefault="00DD3F37" w:rsidP="00FC4457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2627014,6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B04" w:rsidRDefault="00DD3F37" w:rsidP="00BF4CC3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B04" w:rsidRDefault="00DD3F37" w:rsidP="00FC4457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110,3</w:t>
            </w:r>
          </w:p>
        </w:tc>
      </w:tr>
      <w:tr w:rsidR="000A1B04" w:rsidTr="00220425">
        <w:trPr>
          <w:trHeight w:val="12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B04" w:rsidRDefault="000A1B04" w:rsidP="00220425">
            <w:pPr>
              <w:spacing w:before="120" w:after="12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организаций других видов экономической деятельности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04" w:rsidRDefault="00DD3F37" w:rsidP="00220425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3713895,9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04" w:rsidRDefault="00DD3F37" w:rsidP="00FC4457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04" w:rsidRDefault="00DD3F37" w:rsidP="00FC4457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761944,4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B04" w:rsidRDefault="00DD3F37" w:rsidP="00FC4457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B04" w:rsidRDefault="00DD3F37" w:rsidP="00FC4457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113,3</w:t>
            </w:r>
          </w:p>
        </w:tc>
      </w:tr>
    </w:tbl>
    <w:p w:rsidR="000A1B04" w:rsidRDefault="000A1B04" w:rsidP="000A1B04">
      <w:pPr>
        <w:pStyle w:val="a6"/>
        <w:rPr>
          <w:rFonts w:ascii="Arial" w:hAnsi="Arial" w:cs="Arial"/>
          <w:sz w:val="16"/>
          <w:szCs w:val="16"/>
        </w:rPr>
      </w:pPr>
    </w:p>
    <w:p w:rsidR="000A1B04" w:rsidRDefault="000A1B04" w:rsidP="000A1B04">
      <w:pPr>
        <w:pStyle w:val="a6"/>
        <w:rPr>
          <w:rFonts w:ascii="Arial" w:hAnsi="Arial" w:cs="Arial"/>
          <w:sz w:val="16"/>
          <w:szCs w:val="16"/>
        </w:rPr>
      </w:pPr>
    </w:p>
    <w:p w:rsidR="000A1B04" w:rsidRDefault="000A1B04" w:rsidP="000A1B04">
      <w:pPr>
        <w:pStyle w:val="a6"/>
        <w:rPr>
          <w:rFonts w:ascii="Arial" w:hAnsi="Arial" w:cs="Arial"/>
          <w:sz w:val="16"/>
          <w:szCs w:val="16"/>
        </w:rPr>
      </w:pPr>
    </w:p>
    <w:p w:rsidR="000A1B04" w:rsidRDefault="000A1B04" w:rsidP="000A1B04">
      <w:pPr>
        <w:pStyle w:val="a6"/>
        <w:rPr>
          <w:rFonts w:ascii="Arial" w:hAnsi="Arial" w:cs="Arial"/>
          <w:sz w:val="16"/>
          <w:szCs w:val="16"/>
        </w:rPr>
      </w:pPr>
    </w:p>
    <w:sectPr w:rsidR="000A1B04" w:rsidSect="00C314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3F6" w:rsidRDefault="00D053F6" w:rsidP="002A53DB">
      <w:pPr>
        <w:spacing w:after="0" w:line="240" w:lineRule="auto"/>
      </w:pPr>
      <w:r>
        <w:separator/>
      </w:r>
    </w:p>
  </w:endnote>
  <w:endnote w:type="continuationSeparator" w:id="0">
    <w:p w:rsidR="00D053F6" w:rsidRDefault="00D053F6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CE" w:rsidRDefault="00EC6C18" w:rsidP="001122CE">
    <w:pPr>
      <w:pStyle w:val="ac"/>
      <w:ind w:left="-42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4" type="#_x0000_t32" style="position:absolute;left:0;text-align:left;margin-left:259.8pt;margin-top:5.55pt;width:213.75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>
      <w:rPr>
        <w:noProof/>
      </w:rPr>
      <w:pict>
        <v:shape id="AutoShape 1" o:spid="_x0000_s2053" type="#_x0000_t32" style="position:absolute;left:0;text-align:left;margin-left:-24.45pt;margin-top:4.8pt;width:213.7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1122CE" w:rsidRPr="008528E7">
      <w:rPr>
        <w:rFonts w:ascii="Times New Roman" w:hAnsi="Times New Roman"/>
        <w:sz w:val="20"/>
        <w:szCs w:val="20"/>
      </w:rPr>
      <w:t>МОССТАТ</w:t>
    </w:r>
    <w:r w:rsidR="001122CE">
      <w:rPr>
        <w:rFonts w:ascii="Times New Roman" w:hAnsi="Times New Roman"/>
        <w:sz w:val="20"/>
        <w:szCs w:val="20"/>
      </w:rPr>
      <w:br/>
    </w:r>
    <w:r w:rsidR="001122CE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1122CE">
      <w:rPr>
        <w:rFonts w:ascii="Times New Roman" w:hAnsi="Times New Roman"/>
        <w:sz w:val="20"/>
        <w:szCs w:val="20"/>
      </w:rPr>
      <w:t>городу Москве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3F6" w:rsidRDefault="00D053F6" w:rsidP="002A53DB">
      <w:pPr>
        <w:spacing w:after="0" w:line="240" w:lineRule="auto"/>
      </w:pPr>
      <w:r>
        <w:separator/>
      </w:r>
    </w:p>
  </w:footnote>
  <w:footnote w:type="continuationSeparator" w:id="0">
    <w:p w:rsidR="00D053F6" w:rsidRDefault="00D053F6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2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A58E4"/>
    <w:rsid w:val="00014605"/>
    <w:rsid w:val="00014E0A"/>
    <w:rsid w:val="00024725"/>
    <w:rsid w:val="00026631"/>
    <w:rsid w:val="00026746"/>
    <w:rsid w:val="00045E28"/>
    <w:rsid w:val="000544B5"/>
    <w:rsid w:val="00060BA8"/>
    <w:rsid w:val="00061C31"/>
    <w:rsid w:val="000A1B04"/>
    <w:rsid w:val="000A38F6"/>
    <w:rsid w:val="000E2869"/>
    <w:rsid w:val="000E6ADE"/>
    <w:rsid w:val="000F3D35"/>
    <w:rsid w:val="001016D3"/>
    <w:rsid w:val="001122CE"/>
    <w:rsid w:val="00144454"/>
    <w:rsid w:val="001619CE"/>
    <w:rsid w:val="001658F2"/>
    <w:rsid w:val="00172EE0"/>
    <w:rsid w:val="001A5572"/>
    <w:rsid w:val="001A70E5"/>
    <w:rsid w:val="001D66BE"/>
    <w:rsid w:val="001E26BC"/>
    <w:rsid w:val="001E3CF6"/>
    <w:rsid w:val="001F2CB8"/>
    <w:rsid w:val="00220BF4"/>
    <w:rsid w:val="00256C4F"/>
    <w:rsid w:val="00282F39"/>
    <w:rsid w:val="0028779E"/>
    <w:rsid w:val="00291614"/>
    <w:rsid w:val="00294FDD"/>
    <w:rsid w:val="002A53DB"/>
    <w:rsid w:val="002E040B"/>
    <w:rsid w:val="002F2DB2"/>
    <w:rsid w:val="002F4A31"/>
    <w:rsid w:val="00326194"/>
    <w:rsid w:val="003355A1"/>
    <w:rsid w:val="0034778D"/>
    <w:rsid w:val="00376639"/>
    <w:rsid w:val="003B1C37"/>
    <w:rsid w:val="003B6A9D"/>
    <w:rsid w:val="003D157B"/>
    <w:rsid w:val="003D36DF"/>
    <w:rsid w:val="003E4F4B"/>
    <w:rsid w:val="003F3501"/>
    <w:rsid w:val="003F4DE1"/>
    <w:rsid w:val="00404872"/>
    <w:rsid w:val="004061E2"/>
    <w:rsid w:val="00422143"/>
    <w:rsid w:val="0045493D"/>
    <w:rsid w:val="00490942"/>
    <w:rsid w:val="004C5BD7"/>
    <w:rsid w:val="004D4D7A"/>
    <w:rsid w:val="00507E25"/>
    <w:rsid w:val="005136BA"/>
    <w:rsid w:val="0052525A"/>
    <w:rsid w:val="00540FDF"/>
    <w:rsid w:val="0054495A"/>
    <w:rsid w:val="005959E3"/>
    <w:rsid w:val="005B4E30"/>
    <w:rsid w:val="005B73CC"/>
    <w:rsid w:val="005C068B"/>
    <w:rsid w:val="005D541F"/>
    <w:rsid w:val="005E785E"/>
    <w:rsid w:val="005F7507"/>
    <w:rsid w:val="006136CF"/>
    <w:rsid w:val="00613C14"/>
    <w:rsid w:val="00623D1C"/>
    <w:rsid w:val="006527D4"/>
    <w:rsid w:val="0065424F"/>
    <w:rsid w:val="00662F4E"/>
    <w:rsid w:val="0066682A"/>
    <w:rsid w:val="006B01F0"/>
    <w:rsid w:val="006C37C1"/>
    <w:rsid w:val="006C7535"/>
    <w:rsid w:val="006E13A9"/>
    <w:rsid w:val="006E5F6C"/>
    <w:rsid w:val="00702DD0"/>
    <w:rsid w:val="0070453D"/>
    <w:rsid w:val="00727637"/>
    <w:rsid w:val="00765E93"/>
    <w:rsid w:val="007872BA"/>
    <w:rsid w:val="007B6C5D"/>
    <w:rsid w:val="007F05E1"/>
    <w:rsid w:val="00803EE6"/>
    <w:rsid w:val="0080473A"/>
    <w:rsid w:val="00815F57"/>
    <w:rsid w:val="00822110"/>
    <w:rsid w:val="00822A1F"/>
    <w:rsid w:val="008419E7"/>
    <w:rsid w:val="00853A45"/>
    <w:rsid w:val="008A3CFB"/>
    <w:rsid w:val="008A7BC5"/>
    <w:rsid w:val="008B07EA"/>
    <w:rsid w:val="008B56DE"/>
    <w:rsid w:val="008D6ACF"/>
    <w:rsid w:val="008E5072"/>
    <w:rsid w:val="008F6E24"/>
    <w:rsid w:val="00915C2D"/>
    <w:rsid w:val="00952BFF"/>
    <w:rsid w:val="0096542A"/>
    <w:rsid w:val="00991B49"/>
    <w:rsid w:val="009A48DC"/>
    <w:rsid w:val="009B321D"/>
    <w:rsid w:val="009D1262"/>
    <w:rsid w:val="009D4EAA"/>
    <w:rsid w:val="009F3F27"/>
    <w:rsid w:val="00A05272"/>
    <w:rsid w:val="00A14288"/>
    <w:rsid w:val="00A25DF0"/>
    <w:rsid w:val="00A67B56"/>
    <w:rsid w:val="00A83EBD"/>
    <w:rsid w:val="00A95233"/>
    <w:rsid w:val="00AC2962"/>
    <w:rsid w:val="00AC4658"/>
    <w:rsid w:val="00B1148B"/>
    <w:rsid w:val="00B20C2A"/>
    <w:rsid w:val="00B40485"/>
    <w:rsid w:val="00B53623"/>
    <w:rsid w:val="00B72121"/>
    <w:rsid w:val="00B768B1"/>
    <w:rsid w:val="00B86AF2"/>
    <w:rsid w:val="00BA57C9"/>
    <w:rsid w:val="00BA58E4"/>
    <w:rsid w:val="00BB213A"/>
    <w:rsid w:val="00BB55F8"/>
    <w:rsid w:val="00BD76EA"/>
    <w:rsid w:val="00BE2B8F"/>
    <w:rsid w:val="00BE7D13"/>
    <w:rsid w:val="00BF07F2"/>
    <w:rsid w:val="00BF4CC3"/>
    <w:rsid w:val="00C007FE"/>
    <w:rsid w:val="00C0366B"/>
    <w:rsid w:val="00C07EC3"/>
    <w:rsid w:val="00C2157C"/>
    <w:rsid w:val="00C2281A"/>
    <w:rsid w:val="00C314E9"/>
    <w:rsid w:val="00C42E36"/>
    <w:rsid w:val="00C44185"/>
    <w:rsid w:val="00C539DE"/>
    <w:rsid w:val="00C53CB9"/>
    <w:rsid w:val="00C54A2B"/>
    <w:rsid w:val="00C73671"/>
    <w:rsid w:val="00C74D52"/>
    <w:rsid w:val="00CB47C0"/>
    <w:rsid w:val="00CD444C"/>
    <w:rsid w:val="00D053F6"/>
    <w:rsid w:val="00D05DB4"/>
    <w:rsid w:val="00DB40C1"/>
    <w:rsid w:val="00DB5504"/>
    <w:rsid w:val="00DD3F37"/>
    <w:rsid w:val="00E01BAB"/>
    <w:rsid w:val="00E14018"/>
    <w:rsid w:val="00E3241A"/>
    <w:rsid w:val="00E325E0"/>
    <w:rsid w:val="00E60D01"/>
    <w:rsid w:val="00E67451"/>
    <w:rsid w:val="00E81DE2"/>
    <w:rsid w:val="00E94DF0"/>
    <w:rsid w:val="00EA6CBF"/>
    <w:rsid w:val="00EA741E"/>
    <w:rsid w:val="00EC09C6"/>
    <w:rsid w:val="00EC6C18"/>
    <w:rsid w:val="00EE70B0"/>
    <w:rsid w:val="00EF1FAE"/>
    <w:rsid w:val="00F0076D"/>
    <w:rsid w:val="00F03A7C"/>
    <w:rsid w:val="00F212B9"/>
    <w:rsid w:val="00F273E8"/>
    <w:rsid w:val="00F461F0"/>
    <w:rsid w:val="00F47956"/>
    <w:rsid w:val="00F67310"/>
    <w:rsid w:val="00FA5760"/>
    <w:rsid w:val="00FB1DEC"/>
    <w:rsid w:val="00FC3329"/>
    <w:rsid w:val="00FC4457"/>
    <w:rsid w:val="00FC561D"/>
    <w:rsid w:val="00FD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0A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A1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"/>
          <c:y val="3.5931508561430278E-2"/>
          <c:w val="1"/>
          <c:h val="0.5433850768653918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 соответствующему периоду предыдущего года</c:v>
                </c:pt>
              </c:strCache>
            </c:strRef>
          </c:tx>
          <c:cat>
            <c:strRef>
              <c:f>Лист1!$A$2:$A$19</c:f>
              <c:strCache>
                <c:ptCount val="18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106.5</c:v>
                </c:pt>
                <c:pt idx="1">
                  <c:v>107.7</c:v>
                </c:pt>
                <c:pt idx="2">
                  <c:v>103.1</c:v>
                </c:pt>
                <c:pt idx="3" formatCode="0.0">
                  <c:v>82</c:v>
                </c:pt>
                <c:pt idx="4">
                  <c:v>81.7</c:v>
                </c:pt>
                <c:pt idx="5" formatCode="0.0">
                  <c:v>97</c:v>
                </c:pt>
                <c:pt idx="6" formatCode="0.0">
                  <c:v>102.3</c:v>
                </c:pt>
                <c:pt idx="7">
                  <c:v>96.7</c:v>
                </c:pt>
                <c:pt idx="8">
                  <c:v>98.5</c:v>
                </c:pt>
                <c:pt idx="9" formatCode="0.0">
                  <c:v>95.2</c:v>
                </c:pt>
                <c:pt idx="10">
                  <c:v>97.9</c:v>
                </c:pt>
                <c:pt idx="11">
                  <c:v>105.8</c:v>
                </c:pt>
                <c:pt idx="12">
                  <c:v>107.4</c:v>
                </c:pt>
                <c:pt idx="13">
                  <c:v>104.8</c:v>
                </c:pt>
                <c:pt idx="14">
                  <c:v>112.1</c:v>
                </c:pt>
                <c:pt idx="15">
                  <c:v>142.6</c:v>
                </c:pt>
                <c:pt idx="16" formatCode="0.0">
                  <c:v>134.80000000000001</c:v>
                </c:pt>
                <c:pt idx="17">
                  <c:v>121.4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 предыдущему периоду</c:v>
                </c:pt>
              </c:strCache>
            </c:strRef>
          </c:tx>
          <c:cat>
            <c:strRef>
              <c:f>Лист1!$A$2:$A$19</c:f>
              <c:strCache>
                <c:ptCount val="18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67.599999999999994</c:v>
                </c:pt>
                <c:pt idx="1">
                  <c:v>109.1</c:v>
                </c:pt>
                <c:pt idx="2">
                  <c:v>112.3</c:v>
                </c:pt>
                <c:pt idx="3">
                  <c:v>76.400000000000006</c:v>
                </c:pt>
                <c:pt idx="4">
                  <c:v>98.2</c:v>
                </c:pt>
                <c:pt idx="5" formatCode="0.0">
                  <c:v>123.1</c:v>
                </c:pt>
                <c:pt idx="6" formatCode="0.0">
                  <c:v>107</c:v>
                </c:pt>
                <c:pt idx="7" formatCode="0.0">
                  <c:v>101</c:v>
                </c:pt>
                <c:pt idx="8" formatCode="0.0">
                  <c:v>105</c:v>
                </c:pt>
                <c:pt idx="9" formatCode="0.0">
                  <c:v>103</c:v>
                </c:pt>
                <c:pt idx="10" formatCode="0.0">
                  <c:v>102.9</c:v>
                </c:pt>
                <c:pt idx="11" formatCode="0.0">
                  <c:v>115</c:v>
                </c:pt>
                <c:pt idx="12">
                  <c:v>68.599999999999994</c:v>
                </c:pt>
                <c:pt idx="13">
                  <c:v>106.5</c:v>
                </c:pt>
                <c:pt idx="14">
                  <c:v>120.2</c:v>
                </c:pt>
                <c:pt idx="15">
                  <c:v>97.2</c:v>
                </c:pt>
                <c:pt idx="16">
                  <c:v>92.8</c:v>
                </c:pt>
                <c:pt idx="17">
                  <c:v>110.9</c:v>
                </c:pt>
              </c:numCache>
            </c:numRef>
          </c:val>
        </c:ser>
        <c:marker val="1"/>
        <c:axId val="50872704"/>
        <c:axId val="50874240"/>
      </c:lineChart>
      <c:catAx>
        <c:axId val="50872704"/>
        <c:scaling>
          <c:orientation val="minMax"/>
        </c:scaling>
        <c:axPos val="b"/>
        <c:majorGridlines/>
        <c:minorGridlines/>
        <c:tickLblPos val="nextTo"/>
        <c:crossAx val="50874240"/>
        <c:crosses val="autoZero"/>
        <c:auto val="1"/>
        <c:lblAlgn val="ctr"/>
        <c:lblOffset val="100"/>
      </c:catAx>
      <c:valAx>
        <c:axId val="50874240"/>
        <c:scaling>
          <c:orientation val="minMax"/>
          <c:min val="50"/>
        </c:scaling>
        <c:axPos val="l"/>
        <c:majorGridlines/>
        <c:minorGridlines/>
        <c:numFmt formatCode="General" sourceLinked="1"/>
        <c:tickLblPos val="nextTo"/>
        <c:crossAx val="50872704"/>
        <c:crosses val="autoZero"/>
        <c:crossBetween val="between"/>
        <c:majorUnit val="40"/>
      </c:valAx>
      <c:spPr>
        <a:noFill/>
        <a:ln w="25400">
          <a:noFill/>
        </a:ln>
      </c:spPr>
    </c:plotArea>
    <c:legend>
      <c:legendPos val="l"/>
      <c:layout>
        <c:manualLayout>
          <c:xMode val="edge"/>
          <c:yMode val="edge"/>
          <c:x val="5.8899321176515515E-2"/>
          <c:y val="0.74411033402112925"/>
          <c:w val="0.82084465248296323"/>
          <c:h val="0.12500270799483387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0.04608</cdr:x>
      <cdr:y>0.68004</cdr:y>
    </cdr:from>
    <cdr:to>
      <cdr:x>0.16283</cdr:x>
      <cdr:y>0.75697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285732" y="2040375"/>
          <a:ext cx="723918" cy="230819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ru-RU" sz="105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2020 г.</a:t>
          </a:r>
        </a:p>
      </cdr:txBody>
    </cdr:sp>
  </cdr:relSizeAnchor>
  <cdr:relSizeAnchor xmlns:cdr="http://schemas.openxmlformats.org/drawingml/2006/chartDrawing">
    <cdr:from>
      <cdr:x>0.87626</cdr:x>
      <cdr:y>0.68756</cdr:y>
    </cdr:from>
    <cdr:to>
      <cdr:x>1</cdr:x>
      <cdr:y>0.76448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5433484" y="2062938"/>
          <a:ext cx="767291" cy="230789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pPr algn="r"/>
          <a:r>
            <a:rPr lang="ru-RU" sz="105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2021 г</a:t>
          </a:r>
          <a:r>
            <a:rPr lang="ru-RU" sz="105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.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9763C-9CDF-4C1E-AB54-EE9271891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p77_DeevaNV</cp:lastModifiedBy>
  <cp:revision>8</cp:revision>
  <cp:lastPrinted>2021-05-24T09:58:00Z</cp:lastPrinted>
  <dcterms:created xsi:type="dcterms:W3CDTF">2021-06-17T14:13:00Z</dcterms:created>
  <dcterms:modified xsi:type="dcterms:W3CDTF">2021-07-21T12:52:00Z</dcterms:modified>
</cp:coreProperties>
</file>